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4C7D" w14:textId="730906E8" w:rsidR="00D0658F" w:rsidRPr="00D0658F" w:rsidRDefault="00D0658F" w:rsidP="00D0658F">
      <w:pPr>
        <w:spacing w:before="100" w:beforeAutospacing="1" w:after="100" w:afterAutospacing="1" w:line="240" w:lineRule="auto"/>
        <w:outlineLvl w:val="1"/>
        <w:rPr>
          <w:rFonts w:ascii="Times New Roman" w:eastAsia="Times New Roman" w:hAnsi="Times New Roman" w:cs="Times New Roman"/>
          <w:b/>
          <w:bCs/>
          <w:sz w:val="36"/>
          <w:szCs w:val="36"/>
          <w:lang w:eastAsia="fr-BE"/>
        </w:rPr>
      </w:pPr>
      <w:r w:rsidRPr="00D0658F">
        <w:rPr>
          <w:rFonts w:ascii="Times New Roman" w:eastAsia="Times New Roman" w:hAnsi="Times New Roman" w:cs="Times New Roman"/>
          <w:b/>
          <w:bCs/>
          <w:sz w:val="36"/>
          <w:szCs w:val="36"/>
          <w:lang w:eastAsia="fr-BE"/>
        </w:rPr>
        <w:t xml:space="preserve">Moutons : une carence en molybdène peut </w:t>
      </w:r>
      <w:r w:rsidR="009A7CA6">
        <w:rPr>
          <w:rFonts w:ascii="Times New Roman" w:eastAsia="Times New Roman" w:hAnsi="Times New Roman" w:cs="Times New Roman"/>
          <w:b/>
          <w:bCs/>
          <w:sz w:val="36"/>
          <w:szCs w:val="36"/>
          <w:lang w:eastAsia="fr-BE"/>
        </w:rPr>
        <w:t>causer</w:t>
      </w:r>
      <w:r w:rsidRPr="00D0658F">
        <w:rPr>
          <w:rFonts w:ascii="Times New Roman" w:eastAsia="Times New Roman" w:hAnsi="Times New Roman" w:cs="Times New Roman"/>
          <w:b/>
          <w:bCs/>
          <w:sz w:val="36"/>
          <w:szCs w:val="36"/>
          <w:lang w:eastAsia="fr-BE"/>
        </w:rPr>
        <w:t xml:space="preserve"> une intoxication au cuivre</w:t>
      </w:r>
    </w:p>
    <w:p w14:paraId="2DD22C28"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b/>
          <w:bCs/>
          <w:sz w:val="24"/>
          <w:szCs w:val="24"/>
          <w:lang w:eastAsia="fr-BE"/>
        </w:rPr>
        <w:t>Richard Lambert – Centre de Michamps, UCLouvain – ELIa</w:t>
      </w:r>
    </w:p>
    <w:p w14:paraId="72F4BEB7"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Le cuivre est un oligo-élément essentiel, intervenant comme composant ou activateur de nombreuses enzymes indispensables aux fonctions vitales. Cependant, chez les ovins, certaines particularités du métabolisme du cuivre les rendent particulièrement sensibles aux risques d’intoxication.</w:t>
      </w:r>
    </w:p>
    <w:p w14:paraId="3245578F"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Le cuivre absorbé en excès est stocké dans le foie. Lorsque cette capacité de stockage est dépassée, ou qu’un stress déclencheur survient, le cuivre est brutalement relargué dans la circulation sanguine. Ce phénomène entraîne une destruction massive des globules rouges (hémolyse) pouvant conduire rapidement à la mort de l’animal.</w:t>
      </w:r>
      <w:r w:rsidRPr="00D0658F">
        <w:rPr>
          <w:rFonts w:ascii="Times New Roman" w:eastAsia="Times New Roman" w:hAnsi="Times New Roman" w:cs="Times New Roman"/>
          <w:sz w:val="24"/>
          <w:szCs w:val="24"/>
          <w:lang w:eastAsia="fr-BE"/>
        </w:rPr>
        <w:br/>
        <w:t>La sensibilité varie selon la race, l’âge, le sexe et l’état physiologique.</w:t>
      </w:r>
    </w:p>
    <w:p w14:paraId="293CE423" w14:textId="77777777" w:rsidR="00D0658F" w:rsidRPr="00D0658F" w:rsidRDefault="00D0658F" w:rsidP="00D0658F">
      <w:pPr>
        <w:spacing w:before="100" w:beforeAutospacing="1" w:after="100" w:afterAutospacing="1" w:line="240" w:lineRule="auto"/>
        <w:outlineLvl w:val="2"/>
        <w:rPr>
          <w:rFonts w:ascii="Times New Roman" w:eastAsia="Times New Roman" w:hAnsi="Times New Roman" w:cs="Times New Roman"/>
          <w:b/>
          <w:bCs/>
          <w:sz w:val="27"/>
          <w:szCs w:val="27"/>
          <w:lang w:eastAsia="fr-BE"/>
        </w:rPr>
      </w:pPr>
      <w:r w:rsidRPr="00D0658F">
        <w:rPr>
          <w:rFonts w:ascii="Times New Roman" w:eastAsia="Times New Roman" w:hAnsi="Times New Roman" w:cs="Times New Roman"/>
          <w:b/>
          <w:bCs/>
          <w:sz w:val="27"/>
          <w:szCs w:val="27"/>
          <w:lang w:eastAsia="fr-BE"/>
        </w:rPr>
        <w:t>Origines de l’intoxication au cuivre</w:t>
      </w:r>
    </w:p>
    <w:p w14:paraId="2008EEBB"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L’intoxication est le plus souvent liée à une ingestion excessive accidentelle, par exemple :</w:t>
      </w:r>
    </w:p>
    <w:p w14:paraId="11BB3183" w14:textId="77777777" w:rsidR="00D0658F" w:rsidRPr="00D0658F" w:rsidRDefault="00D0658F" w:rsidP="00D0658F">
      <w:pPr>
        <w:numPr>
          <w:ilvl w:val="0"/>
          <w:numId w:val="1"/>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pâturage dans des vergers traités à la bouillie bordelaise,</w:t>
      </w:r>
    </w:p>
    <w:p w14:paraId="55671D32" w14:textId="77777777" w:rsidR="00D0658F" w:rsidRPr="00D0658F" w:rsidRDefault="00D0658F" w:rsidP="00D0658F">
      <w:pPr>
        <w:numPr>
          <w:ilvl w:val="0"/>
          <w:numId w:val="1"/>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consommation d’aliments ou de minéraux destinés à d’autres espèces,</w:t>
      </w:r>
    </w:p>
    <w:p w14:paraId="6FD7E040" w14:textId="77777777" w:rsidR="00D0658F" w:rsidRPr="00D0658F" w:rsidRDefault="00D0658F" w:rsidP="00D0658F">
      <w:pPr>
        <w:numPr>
          <w:ilvl w:val="0"/>
          <w:numId w:val="1"/>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ingestion de fourrages fertilisés avec des lisiers de porcs riches en cuivre.</w:t>
      </w:r>
    </w:p>
    <w:p w14:paraId="47C2F654"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L’eau de boisson peut également être une source importante, surtout si elle est douce ou légèrement acide, lorsqu’elle circule dans des conduites en cuivre.</w:t>
      </w:r>
    </w:p>
    <w:p w14:paraId="1D70D0C1" w14:textId="77777777" w:rsidR="00D0658F" w:rsidRPr="00D0658F" w:rsidRDefault="00D0658F" w:rsidP="00D0658F">
      <w:pPr>
        <w:spacing w:before="100" w:beforeAutospacing="1" w:after="100" w:afterAutospacing="1" w:line="240" w:lineRule="auto"/>
        <w:outlineLvl w:val="2"/>
        <w:rPr>
          <w:rFonts w:ascii="Times New Roman" w:eastAsia="Times New Roman" w:hAnsi="Times New Roman" w:cs="Times New Roman"/>
          <w:b/>
          <w:bCs/>
          <w:sz w:val="27"/>
          <w:szCs w:val="27"/>
          <w:lang w:eastAsia="fr-BE"/>
        </w:rPr>
      </w:pPr>
      <w:r w:rsidRPr="00D0658F">
        <w:rPr>
          <w:rFonts w:ascii="Times New Roman" w:eastAsia="Times New Roman" w:hAnsi="Times New Roman" w:cs="Times New Roman"/>
          <w:b/>
          <w:bCs/>
          <w:sz w:val="27"/>
          <w:szCs w:val="27"/>
          <w:lang w:eastAsia="fr-BE"/>
        </w:rPr>
        <w:t>Quand l’apport en cuivre est “normal”</w:t>
      </w:r>
    </w:p>
    <w:p w14:paraId="0C054698"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Dans certains cas, une intoxication peut survenir même avec des apports considérés comme “normaux”. Ce fut récemment le cas d’un éleveur ayant perdu 15 gros agneaux.</w:t>
      </w:r>
      <w:r w:rsidRPr="00D0658F">
        <w:rPr>
          <w:rFonts w:ascii="Times New Roman" w:eastAsia="Times New Roman" w:hAnsi="Times New Roman" w:cs="Times New Roman"/>
          <w:sz w:val="24"/>
          <w:szCs w:val="24"/>
          <w:lang w:eastAsia="fr-BE"/>
        </w:rPr>
        <w:br/>
        <w:t xml:space="preserve">L’analyse de l’aliment montrait une teneur en cuivre de </w:t>
      </w:r>
      <w:r w:rsidRPr="00D0658F">
        <w:rPr>
          <w:rFonts w:ascii="Times New Roman" w:eastAsia="Times New Roman" w:hAnsi="Times New Roman" w:cs="Times New Roman"/>
          <w:b/>
          <w:bCs/>
          <w:sz w:val="24"/>
          <w:szCs w:val="24"/>
          <w:lang w:eastAsia="fr-BE"/>
        </w:rPr>
        <w:t>10 mg/kg de matière sèche (MS)</w:t>
      </w:r>
      <w:r w:rsidRPr="00D0658F">
        <w:rPr>
          <w:rFonts w:ascii="Times New Roman" w:eastAsia="Times New Roman" w:hAnsi="Times New Roman" w:cs="Times New Roman"/>
          <w:sz w:val="24"/>
          <w:szCs w:val="24"/>
          <w:lang w:eastAsia="fr-BE"/>
        </w:rPr>
        <w:t>, inférieure à la limite fixée par l’Autorité européenne de sécurité des aliments (15 mg/kg pour les ovins).</w:t>
      </w:r>
    </w:p>
    <w:p w14:paraId="4171FDD3" w14:textId="77777777" w:rsidR="00D0658F" w:rsidRPr="00D0658F" w:rsidRDefault="00D0658F" w:rsidP="00D0658F">
      <w:pPr>
        <w:spacing w:before="100" w:beforeAutospacing="1" w:after="100" w:afterAutospacing="1" w:line="240" w:lineRule="auto"/>
        <w:outlineLvl w:val="2"/>
        <w:rPr>
          <w:rFonts w:ascii="Times New Roman" w:eastAsia="Times New Roman" w:hAnsi="Times New Roman" w:cs="Times New Roman"/>
          <w:b/>
          <w:bCs/>
          <w:sz w:val="27"/>
          <w:szCs w:val="27"/>
          <w:lang w:eastAsia="fr-BE"/>
        </w:rPr>
      </w:pPr>
      <w:r w:rsidRPr="00D0658F">
        <w:rPr>
          <w:rFonts w:ascii="Times New Roman" w:eastAsia="Times New Roman" w:hAnsi="Times New Roman" w:cs="Times New Roman"/>
          <w:b/>
          <w:bCs/>
          <w:sz w:val="27"/>
          <w:szCs w:val="27"/>
          <w:lang w:eastAsia="fr-BE"/>
        </w:rPr>
        <w:t>Le rôle du molybdène et des interactions minérales</w:t>
      </w:r>
    </w:p>
    <w:p w14:paraId="4D2361DE"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 xml:space="preserve">L’absorption du cuivre résulte d’interactions complexes avec d’autres éléments, notamment le </w:t>
      </w:r>
      <w:r w:rsidRPr="00D0658F">
        <w:rPr>
          <w:rFonts w:ascii="Times New Roman" w:eastAsia="Times New Roman" w:hAnsi="Times New Roman" w:cs="Times New Roman"/>
          <w:b/>
          <w:bCs/>
          <w:sz w:val="24"/>
          <w:szCs w:val="24"/>
          <w:lang w:eastAsia="fr-BE"/>
        </w:rPr>
        <w:t>molybdène (Mo)</w:t>
      </w:r>
      <w:r w:rsidRPr="00D0658F">
        <w:rPr>
          <w:rFonts w:ascii="Times New Roman" w:eastAsia="Times New Roman" w:hAnsi="Times New Roman" w:cs="Times New Roman"/>
          <w:sz w:val="24"/>
          <w:szCs w:val="24"/>
          <w:lang w:eastAsia="fr-BE"/>
        </w:rPr>
        <w:t>, le soufre (S), le zinc (Zn), le calcium (Ca) et le fer (Fe).</w:t>
      </w:r>
      <w:r w:rsidRPr="00D0658F">
        <w:rPr>
          <w:rFonts w:ascii="Times New Roman" w:eastAsia="Times New Roman" w:hAnsi="Times New Roman" w:cs="Times New Roman"/>
          <w:sz w:val="24"/>
          <w:szCs w:val="24"/>
          <w:lang w:eastAsia="fr-BE"/>
        </w:rPr>
        <w:br/>
        <w:t>Le molybdène et le soufre sont les deux principaux antagonistes de l’absorption du cuivre. Ainsi, lorsque leurs concentrations sont faibles, le cuivre peut devenir toxique même à des teneurs inférieures à 15 mg/kg.</w:t>
      </w:r>
    </w:p>
    <w:p w14:paraId="616E4FCC"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 xml:space="preserve">Le </w:t>
      </w:r>
      <w:r w:rsidRPr="00D0658F">
        <w:rPr>
          <w:rFonts w:ascii="Times New Roman" w:eastAsia="Times New Roman" w:hAnsi="Times New Roman" w:cs="Times New Roman"/>
          <w:b/>
          <w:bCs/>
          <w:sz w:val="24"/>
          <w:szCs w:val="24"/>
          <w:lang w:eastAsia="fr-BE"/>
        </w:rPr>
        <w:t>rapport Cu/Mo</w:t>
      </w:r>
      <w:r w:rsidRPr="00D0658F">
        <w:rPr>
          <w:rFonts w:ascii="Times New Roman" w:eastAsia="Times New Roman" w:hAnsi="Times New Roman" w:cs="Times New Roman"/>
          <w:sz w:val="24"/>
          <w:szCs w:val="24"/>
          <w:lang w:eastAsia="fr-BE"/>
        </w:rPr>
        <w:t xml:space="preserve"> est un indicateur clé pour évaluer le risque :</w:t>
      </w:r>
    </w:p>
    <w:p w14:paraId="5FF83041" w14:textId="77777777" w:rsidR="00D0658F" w:rsidRPr="00D0658F" w:rsidRDefault="00D0658F" w:rsidP="00D0658F">
      <w:pPr>
        <w:numPr>
          <w:ilvl w:val="0"/>
          <w:numId w:val="2"/>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b/>
          <w:bCs/>
          <w:sz w:val="24"/>
          <w:szCs w:val="24"/>
          <w:lang w:eastAsia="fr-BE"/>
        </w:rPr>
        <w:t>&lt; 3:1</w:t>
      </w:r>
      <w:r w:rsidRPr="00D0658F">
        <w:rPr>
          <w:rFonts w:ascii="Times New Roman" w:eastAsia="Times New Roman" w:hAnsi="Times New Roman" w:cs="Times New Roman"/>
          <w:sz w:val="24"/>
          <w:szCs w:val="24"/>
          <w:lang w:eastAsia="fr-BE"/>
        </w:rPr>
        <w:t xml:space="preserve"> → risque de carence en cuivre,</w:t>
      </w:r>
    </w:p>
    <w:p w14:paraId="4F602413" w14:textId="77777777" w:rsidR="00D0658F" w:rsidRPr="00D0658F" w:rsidRDefault="00D0658F" w:rsidP="00D0658F">
      <w:pPr>
        <w:numPr>
          <w:ilvl w:val="0"/>
          <w:numId w:val="2"/>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b/>
          <w:bCs/>
          <w:sz w:val="24"/>
          <w:szCs w:val="24"/>
          <w:lang w:eastAsia="fr-BE"/>
        </w:rPr>
        <w:t>&gt; 6:1</w:t>
      </w:r>
      <w:r w:rsidRPr="00D0658F">
        <w:rPr>
          <w:rFonts w:ascii="Times New Roman" w:eastAsia="Times New Roman" w:hAnsi="Times New Roman" w:cs="Times New Roman"/>
          <w:sz w:val="24"/>
          <w:szCs w:val="24"/>
          <w:lang w:eastAsia="fr-BE"/>
        </w:rPr>
        <w:t xml:space="preserve"> → risque accru d’accumulation,</w:t>
      </w:r>
    </w:p>
    <w:p w14:paraId="3654CD69" w14:textId="2637AE48" w:rsidR="00D0658F" w:rsidRPr="00D0658F" w:rsidRDefault="00D0658F" w:rsidP="00D0658F">
      <w:pPr>
        <w:numPr>
          <w:ilvl w:val="0"/>
          <w:numId w:val="2"/>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b/>
          <w:bCs/>
          <w:sz w:val="24"/>
          <w:szCs w:val="24"/>
          <w:lang w:eastAsia="fr-BE"/>
        </w:rPr>
        <w:t>&gt; 10:1</w:t>
      </w:r>
      <w:r w:rsidRPr="00D0658F">
        <w:rPr>
          <w:rFonts w:ascii="Times New Roman" w:eastAsia="Times New Roman" w:hAnsi="Times New Roman" w:cs="Times New Roman"/>
          <w:sz w:val="24"/>
          <w:szCs w:val="24"/>
          <w:lang w:eastAsia="fr-BE"/>
        </w:rPr>
        <w:t xml:space="preserve"> → intoxication </w:t>
      </w:r>
      <w:r>
        <w:rPr>
          <w:rFonts w:ascii="Times New Roman" w:eastAsia="Times New Roman" w:hAnsi="Times New Roman" w:cs="Times New Roman"/>
          <w:sz w:val="24"/>
          <w:szCs w:val="24"/>
          <w:lang w:eastAsia="fr-BE"/>
        </w:rPr>
        <w:t>possible</w:t>
      </w:r>
      <w:r w:rsidRPr="00D0658F">
        <w:rPr>
          <w:rFonts w:ascii="Times New Roman" w:eastAsia="Times New Roman" w:hAnsi="Times New Roman" w:cs="Times New Roman"/>
          <w:sz w:val="24"/>
          <w:szCs w:val="24"/>
          <w:lang w:eastAsia="fr-BE"/>
        </w:rPr>
        <w:t>,</w:t>
      </w:r>
    </w:p>
    <w:p w14:paraId="6E590D2F" w14:textId="77777777" w:rsidR="00D0658F" w:rsidRPr="00D0658F" w:rsidRDefault="00D0658F" w:rsidP="00D0658F">
      <w:pPr>
        <w:numPr>
          <w:ilvl w:val="0"/>
          <w:numId w:val="2"/>
        </w:num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b/>
          <w:bCs/>
          <w:sz w:val="24"/>
          <w:szCs w:val="24"/>
          <w:lang w:eastAsia="fr-BE"/>
        </w:rPr>
        <w:t>&gt; 20:1</w:t>
      </w:r>
      <w:r w:rsidRPr="00D0658F">
        <w:rPr>
          <w:rFonts w:ascii="Times New Roman" w:eastAsia="Times New Roman" w:hAnsi="Times New Roman" w:cs="Times New Roman"/>
          <w:sz w:val="24"/>
          <w:szCs w:val="24"/>
          <w:lang w:eastAsia="fr-BE"/>
        </w:rPr>
        <w:t xml:space="preserve"> → situation très dangereuse.</w:t>
      </w:r>
    </w:p>
    <w:p w14:paraId="695BAE52" w14:textId="77777777"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lastRenderedPageBreak/>
        <w:t xml:space="preserve">Le ratio optimal se situe entre </w:t>
      </w:r>
      <w:r w:rsidRPr="00D0658F">
        <w:rPr>
          <w:rFonts w:ascii="Times New Roman" w:eastAsia="Times New Roman" w:hAnsi="Times New Roman" w:cs="Times New Roman"/>
          <w:b/>
          <w:bCs/>
          <w:sz w:val="24"/>
          <w:szCs w:val="24"/>
          <w:lang w:eastAsia="fr-BE"/>
        </w:rPr>
        <w:t>3 et 10</w:t>
      </w:r>
      <w:r w:rsidRPr="00D0658F">
        <w:rPr>
          <w:rFonts w:ascii="Times New Roman" w:eastAsia="Times New Roman" w:hAnsi="Times New Roman" w:cs="Times New Roman"/>
          <w:sz w:val="24"/>
          <w:szCs w:val="24"/>
          <w:lang w:eastAsia="fr-BE"/>
        </w:rPr>
        <w:t>, ce qui permet de tenir compte des variations raciales dans le métabolisme et le stockage du cuivre.</w:t>
      </w:r>
    </w:p>
    <w:p w14:paraId="7D3B6F81" w14:textId="77777777" w:rsidR="00D0658F" w:rsidRPr="00D0658F" w:rsidRDefault="00D0658F" w:rsidP="00D0658F">
      <w:pPr>
        <w:spacing w:before="100" w:beforeAutospacing="1" w:after="100" w:afterAutospacing="1" w:line="240" w:lineRule="auto"/>
        <w:outlineLvl w:val="2"/>
        <w:rPr>
          <w:rFonts w:ascii="Times New Roman" w:eastAsia="Times New Roman" w:hAnsi="Times New Roman" w:cs="Times New Roman"/>
          <w:b/>
          <w:bCs/>
          <w:sz w:val="27"/>
          <w:szCs w:val="27"/>
          <w:lang w:eastAsia="fr-BE"/>
        </w:rPr>
      </w:pPr>
      <w:r w:rsidRPr="00D0658F">
        <w:rPr>
          <w:rFonts w:ascii="Times New Roman" w:eastAsia="Times New Roman" w:hAnsi="Times New Roman" w:cs="Times New Roman"/>
          <w:b/>
          <w:bCs/>
          <w:sz w:val="27"/>
          <w:szCs w:val="27"/>
          <w:lang w:eastAsia="fr-BE"/>
        </w:rPr>
        <w:t>Exemple concret</w:t>
      </w:r>
    </w:p>
    <w:p w14:paraId="6C31A165" w14:textId="3F3B6EC8"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 xml:space="preserve">Dans le cas de cet éleveur, la teneur en molybdène mesurée dans l’aliment était de </w:t>
      </w:r>
      <w:r w:rsidRPr="00D0658F">
        <w:rPr>
          <w:rFonts w:ascii="Times New Roman" w:eastAsia="Times New Roman" w:hAnsi="Times New Roman" w:cs="Times New Roman"/>
          <w:b/>
          <w:bCs/>
          <w:sz w:val="24"/>
          <w:szCs w:val="24"/>
          <w:lang w:eastAsia="fr-BE"/>
        </w:rPr>
        <w:t>0,4 mg/kg</w:t>
      </w:r>
      <w:r w:rsidRPr="00D0658F">
        <w:rPr>
          <w:rFonts w:ascii="Times New Roman" w:eastAsia="Times New Roman" w:hAnsi="Times New Roman" w:cs="Times New Roman"/>
          <w:sz w:val="24"/>
          <w:szCs w:val="24"/>
          <w:lang w:eastAsia="fr-BE"/>
        </w:rPr>
        <w:t xml:space="preserve">, soit un rapport </w:t>
      </w:r>
      <w:r w:rsidRPr="00D0658F">
        <w:rPr>
          <w:rFonts w:ascii="Times New Roman" w:eastAsia="Times New Roman" w:hAnsi="Times New Roman" w:cs="Times New Roman"/>
          <w:b/>
          <w:bCs/>
          <w:sz w:val="24"/>
          <w:szCs w:val="24"/>
          <w:lang w:eastAsia="fr-BE"/>
        </w:rPr>
        <w:t>Cu/Mo de 25</w:t>
      </w:r>
      <w:r w:rsidRPr="00D0658F">
        <w:rPr>
          <w:rFonts w:ascii="Times New Roman" w:eastAsia="Times New Roman" w:hAnsi="Times New Roman" w:cs="Times New Roman"/>
          <w:sz w:val="24"/>
          <w:szCs w:val="24"/>
          <w:lang w:eastAsia="fr-BE"/>
        </w:rPr>
        <w:t>, un niveau hautement dangereux.</w:t>
      </w:r>
      <w:r>
        <w:rPr>
          <w:rFonts w:ascii="Times New Roman" w:eastAsia="Times New Roman" w:hAnsi="Times New Roman" w:cs="Times New Roman"/>
          <w:sz w:val="24"/>
          <w:szCs w:val="24"/>
          <w:lang w:eastAsia="fr-BE"/>
        </w:rPr>
        <w:t xml:space="preserve"> </w:t>
      </w:r>
      <w:r w:rsidRPr="00D0658F">
        <w:rPr>
          <w:rFonts w:ascii="Times New Roman" w:eastAsia="Times New Roman" w:hAnsi="Times New Roman" w:cs="Times New Roman"/>
          <w:sz w:val="24"/>
          <w:szCs w:val="24"/>
          <w:lang w:eastAsia="fr-BE"/>
        </w:rPr>
        <w:t>Pour un diagnostic complet, il serait nécessaire d’analyser également le fourrage, l’eau et les minéraux distribués aux animau</w:t>
      </w:r>
      <w:r w:rsidR="004A64A6">
        <w:rPr>
          <w:rFonts w:ascii="Times New Roman" w:eastAsia="Times New Roman" w:hAnsi="Times New Roman" w:cs="Times New Roman"/>
          <w:sz w:val="24"/>
          <w:szCs w:val="24"/>
          <w:lang w:eastAsia="fr-BE"/>
        </w:rPr>
        <w:t>x afin d’ajuster la complémentation en molybdène nécessaire.</w:t>
      </w:r>
    </w:p>
    <w:p w14:paraId="47099182" w14:textId="77777777" w:rsidR="00D0658F" w:rsidRPr="00D0658F" w:rsidRDefault="00D0658F" w:rsidP="00D0658F">
      <w:pPr>
        <w:spacing w:before="100" w:beforeAutospacing="1" w:after="100" w:afterAutospacing="1" w:line="240" w:lineRule="auto"/>
        <w:outlineLvl w:val="2"/>
        <w:rPr>
          <w:rFonts w:ascii="Times New Roman" w:eastAsia="Times New Roman" w:hAnsi="Times New Roman" w:cs="Times New Roman"/>
          <w:b/>
          <w:bCs/>
          <w:sz w:val="27"/>
          <w:szCs w:val="27"/>
          <w:lang w:eastAsia="fr-BE"/>
        </w:rPr>
      </w:pPr>
      <w:r w:rsidRPr="00D0658F">
        <w:rPr>
          <w:rFonts w:ascii="Times New Roman" w:eastAsia="Times New Roman" w:hAnsi="Times New Roman" w:cs="Times New Roman"/>
          <w:b/>
          <w:bCs/>
          <w:sz w:val="27"/>
          <w:szCs w:val="27"/>
          <w:lang w:eastAsia="fr-BE"/>
        </w:rPr>
        <w:t>Conclusion</w:t>
      </w:r>
    </w:p>
    <w:p w14:paraId="551FFEC5" w14:textId="716B58E9" w:rsidR="00D0658F" w:rsidRPr="00D0658F" w:rsidRDefault="00D0658F" w:rsidP="00D0658F">
      <w:pPr>
        <w:spacing w:before="100" w:beforeAutospacing="1" w:after="100" w:afterAutospacing="1" w:line="240" w:lineRule="auto"/>
        <w:rPr>
          <w:rFonts w:ascii="Times New Roman" w:eastAsia="Times New Roman" w:hAnsi="Times New Roman" w:cs="Times New Roman"/>
          <w:sz w:val="24"/>
          <w:szCs w:val="24"/>
          <w:lang w:eastAsia="fr-BE"/>
        </w:rPr>
      </w:pPr>
      <w:r w:rsidRPr="00D0658F">
        <w:rPr>
          <w:rFonts w:ascii="Times New Roman" w:eastAsia="Times New Roman" w:hAnsi="Times New Roman" w:cs="Times New Roman"/>
          <w:sz w:val="24"/>
          <w:szCs w:val="24"/>
          <w:lang w:eastAsia="fr-BE"/>
        </w:rPr>
        <w:t xml:space="preserve">Cet exemple illustre l’importance de la surveillance minérale et l’expertise que peuvent apporter les laboratoires provinciaux d’analyses agricoles, membres du réseau </w:t>
      </w:r>
      <w:r w:rsidRPr="00D0658F">
        <w:rPr>
          <w:rFonts w:ascii="Times New Roman" w:eastAsia="Times New Roman" w:hAnsi="Times New Roman" w:cs="Times New Roman"/>
          <w:b/>
          <w:bCs/>
          <w:sz w:val="24"/>
          <w:szCs w:val="24"/>
          <w:lang w:eastAsia="fr-BE"/>
        </w:rPr>
        <w:t>Requasud</w:t>
      </w:r>
      <w:r w:rsidRPr="00D0658F">
        <w:rPr>
          <w:rFonts w:ascii="Times New Roman" w:eastAsia="Times New Roman" w:hAnsi="Times New Roman" w:cs="Times New Roman"/>
          <w:sz w:val="24"/>
          <w:szCs w:val="24"/>
          <w:lang w:eastAsia="fr-BE"/>
        </w:rPr>
        <w:t xml:space="preserve">, pour accompagner les éleveurs dans la prévention et la gestion des </w:t>
      </w:r>
      <w:r>
        <w:rPr>
          <w:rFonts w:ascii="Times New Roman" w:eastAsia="Times New Roman" w:hAnsi="Times New Roman" w:cs="Times New Roman"/>
          <w:sz w:val="24"/>
          <w:szCs w:val="24"/>
          <w:lang w:eastAsia="fr-BE"/>
        </w:rPr>
        <w:t xml:space="preserve">carences et </w:t>
      </w:r>
      <w:r w:rsidRPr="00D0658F">
        <w:rPr>
          <w:rFonts w:ascii="Times New Roman" w:eastAsia="Times New Roman" w:hAnsi="Times New Roman" w:cs="Times New Roman"/>
          <w:sz w:val="24"/>
          <w:szCs w:val="24"/>
          <w:lang w:eastAsia="fr-BE"/>
        </w:rPr>
        <w:t>intoxications</w:t>
      </w:r>
      <w:r w:rsidR="004A64A6">
        <w:rPr>
          <w:rFonts w:ascii="Times New Roman" w:eastAsia="Times New Roman" w:hAnsi="Times New Roman" w:cs="Times New Roman"/>
          <w:sz w:val="24"/>
          <w:szCs w:val="24"/>
          <w:lang w:eastAsia="fr-BE"/>
        </w:rPr>
        <w:t xml:space="preserve"> des animaux d’élevage.</w:t>
      </w:r>
    </w:p>
    <w:p w14:paraId="0DA8C523" w14:textId="77777777" w:rsidR="00954F4E" w:rsidRDefault="00954F4E"/>
    <w:sectPr w:rsidR="00954F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4CDC"/>
    <w:multiLevelType w:val="multilevel"/>
    <w:tmpl w:val="96CE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E0C1A"/>
    <w:multiLevelType w:val="multilevel"/>
    <w:tmpl w:val="F9B0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574608">
    <w:abstractNumId w:val="1"/>
  </w:num>
  <w:num w:numId="2" w16cid:durableId="505553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58F"/>
    <w:rsid w:val="004A64A6"/>
    <w:rsid w:val="00954F4E"/>
    <w:rsid w:val="009A7CA6"/>
    <w:rsid w:val="00D0658F"/>
    <w:rsid w:val="00FE75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0A2FC"/>
  <w15:chartTrackingRefBased/>
  <w15:docId w15:val="{A3D8B78E-D103-486B-9A81-84F20560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5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065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0658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0658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0658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0658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658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658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658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58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0658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0658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0658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0658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0658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658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658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658F"/>
    <w:rPr>
      <w:rFonts w:eastAsiaTheme="majorEastAsia" w:cstheme="majorBidi"/>
      <w:color w:val="272727" w:themeColor="text1" w:themeTint="D8"/>
    </w:rPr>
  </w:style>
  <w:style w:type="paragraph" w:styleId="Titre">
    <w:name w:val="Title"/>
    <w:basedOn w:val="Normal"/>
    <w:next w:val="Normal"/>
    <w:link w:val="TitreCar"/>
    <w:uiPriority w:val="10"/>
    <w:qFormat/>
    <w:rsid w:val="00D06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658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658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658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658F"/>
    <w:pPr>
      <w:spacing w:before="160"/>
      <w:jc w:val="center"/>
    </w:pPr>
    <w:rPr>
      <w:i/>
      <w:iCs/>
      <w:color w:val="404040" w:themeColor="text1" w:themeTint="BF"/>
    </w:rPr>
  </w:style>
  <w:style w:type="character" w:customStyle="1" w:styleId="CitationCar">
    <w:name w:val="Citation Car"/>
    <w:basedOn w:val="Policepardfaut"/>
    <w:link w:val="Citation"/>
    <w:uiPriority w:val="29"/>
    <w:rsid w:val="00D0658F"/>
    <w:rPr>
      <w:i/>
      <w:iCs/>
      <w:color w:val="404040" w:themeColor="text1" w:themeTint="BF"/>
    </w:rPr>
  </w:style>
  <w:style w:type="paragraph" w:styleId="Paragraphedeliste">
    <w:name w:val="List Paragraph"/>
    <w:basedOn w:val="Normal"/>
    <w:uiPriority w:val="34"/>
    <w:qFormat/>
    <w:rsid w:val="00D0658F"/>
    <w:pPr>
      <w:ind w:left="720"/>
      <w:contextualSpacing/>
    </w:pPr>
  </w:style>
  <w:style w:type="character" w:styleId="Accentuationintense">
    <w:name w:val="Intense Emphasis"/>
    <w:basedOn w:val="Policepardfaut"/>
    <w:uiPriority w:val="21"/>
    <w:qFormat/>
    <w:rsid w:val="00D0658F"/>
    <w:rPr>
      <w:i/>
      <w:iCs/>
      <w:color w:val="2F5496" w:themeColor="accent1" w:themeShade="BF"/>
    </w:rPr>
  </w:style>
  <w:style w:type="paragraph" w:styleId="Citationintense">
    <w:name w:val="Intense Quote"/>
    <w:basedOn w:val="Normal"/>
    <w:next w:val="Normal"/>
    <w:link w:val="CitationintenseCar"/>
    <w:uiPriority w:val="30"/>
    <w:qFormat/>
    <w:rsid w:val="00D065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0658F"/>
    <w:rPr>
      <w:i/>
      <w:iCs/>
      <w:color w:val="2F5496" w:themeColor="accent1" w:themeShade="BF"/>
    </w:rPr>
  </w:style>
  <w:style w:type="character" w:styleId="Rfrenceintense">
    <w:name w:val="Intense Reference"/>
    <w:basedOn w:val="Policepardfaut"/>
    <w:uiPriority w:val="32"/>
    <w:qFormat/>
    <w:rsid w:val="00D065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486</Words>
  <Characters>2677</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Lambert</dc:creator>
  <cp:keywords/>
  <dc:description/>
  <cp:lastModifiedBy>Richard Lambert</cp:lastModifiedBy>
  <cp:revision>3</cp:revision>
  <dcterms:created xsi:type="dcterms:W3CDTF">2025-08-13T12:18:00Z</dcterms:created>
  <dcterms:modified xsi:type="dcterms:W3CDTF">2025-08-13T12:30:00Z</dcterms:modified>
</cp:coreProperties>
</file>